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E" w:rsidRPr="004F74F7" w:rsidRDefault="00316FDE">
      <w:pPr>
        <w:rPr>
          <w:b/>
          <w:color w:val="2F5496" w:themeColor="accent5" w:themeShade="BF"/>
          <w:sz w:val="24"/>
          <w:szCs w:val="24"/>
        </w:rPr>
      </w:pPr>
      <w:r w:rsidRPr="004F74F7">
        <w:rPr>
          <w:b/>
          <w:color w:val="2F5496" w:themeColor="accent5" w:themeShade="BF"/>
          <w:sz w:val="24"/>
          <w:szCs w:val="24"/>
        </w:rPr>
        <w:t>Kontrolní otázky</w:t>
      </w:r>
      <w:r w:rsidR="004F74F7">
        <w:rPr>
          <w:b/>
          <w:color w:val="2F5496" w:themeColor="accent5" w:themeShade="BF"/>
          <w:sz w:val="24"/>
          <w:szCs w:val="24"/>
        </w:rPr>
        <w:t xml:space="preserve"> -</w:t>
      </w:r>
      <w:r w:rsidR="004F74F7" w:rsidRPr="004F74F7">
        <w:rPr>
          <w:b/>
          <w:color w:val="FF0000"/>
          <w:sz w:val="24"/>
          <w:szCs w:val="24"/>
        </w:rPr>
        <w:t xml:space="preserve"> zadání</w:t>
      </w:r>
    </w:p>
    <w:tbl>
      <w:tblPr>
        <w:tblStyle w:val="Mkatabulky"/>
        <w:tblW w:w="7650" w:type="dxa"/>
        <w:tblLayout w:type="fixed"/>
        <w:tblLook w:val="04A0" w:firstRow="1" w:lastRow="0" w:firstColumn="1" w:lastColumn="0" w:noHBand="0" w:noVBand="1"/>
      </w:tblPr>
      <w:tblGrid>
        <w:gridCol w:w="6510"/>
        <w:gridCol w:w="570"/>
        <w:gridCol w:w="570"/>
      </w:tblGrid>
      <w:tr w:rsidR="00316FDE" w:rsidTr="0018155A">
        <w:trPr>
          <w:trHeight w:val="454"/>
        </w:trPr>
        <w:tc>
          <w:tcPr>
            <w:tcW w:w="6510" w:type="dxa"/>
            <w:shd w:val="clear" w:color="auto" w:fill="E7E6E6" w:themeFill="background2"/>
          </w:tcPr>
          <w:p w:rsidR="00316FDE" w:rsidRDefault="00316FDE" w:rsidP="00316FDE">
            <w:r>
              <w:t xml:space="preserve">Vyznačte křížkem </w:t>
            </w:r>
            <w:r w:rsidRPr="00E10CE9">
              <w:rPr>
                <w:b/>
              </w:rPr>
              <w:t>správné</w:t>
            </w:r>
            <w:r>
              <w:t xml:space="preserve"> tvrzení</w:t>
            </w:r>
          </w:p>
          <w:p w:rsidR="00316FDE" w:rsidRDefault="00316FDE"/>
        </w:tc>
        <w:tc>
          <w:tcPr>
            <w:tcW w:w="570" w:type="dxa"/>
            <w:shd w:val="clear" w:color="auto" w:fill="E7E6E6" w:themeFill="background2"/>
          </w:tcPr>
          <w:p w:rsidR="00316FDE" w:rsidRDefault="00316FDE">
            <w:r>
              <w:t>ano</w:t>
            </w:r>
          </w:p>
        </w:tc>
        <w:tc>
          <w:tcPr>
            <w:tcW w:w="570" w:type="dxa"/>
            <w:shd w:val="clear" w:color="auto" w:fill="E7E6E6" w:themeFill="background2"/>
          </w:tcPr>
          <w:p w:rsidR="00316FDE" w:rsidRDefault="00316FDE">
            <w:r>
              <w:t>ne</w:t>
            </w:r>
          </w:p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přijímají H</w:t>
            </w:r>
            <w:r w:rsidRPr="0045555E">
              <w:rPr>
                <w:b/>
                <w:vertAlign w:val="superscript"/>
              </w:rPr>
              <w:t>+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reagují s alkoholy na mýdla a vodu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27504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Karboxylové kyseliny </w:t>
            </w:r>
            <w:r w:rsidR="0027504E">
              <w:t xml:space="preserve">obsahují jako </w:t>
            </w:r>
            <w:r w:rsidRPr="0045555E">
              <w:t xml:space="preserve">funkční </w:t>
            </w:r>
            <w:proofErr w:type="gramStart"/>
            <w:r w:rsidRPr="0045555E">
              <w:t>skupinu</w:t>
            </w:r>
            <w:proofErr w:type="gramEnd"/>
            <w:r w:rsidRPr="0045555E">
              <w:t xml:space="preserve"> </w:t>
            </w:r>
            <w:r w:rsidR="009474B8" w:rsidRPr="0045555E">
              <w:t xml:space="preserve"> –</w:t>
            </w:r>
            <w:proofErr w:type="gramStart"/>
            <w:r w:rsidRPr="0045555E">
              <w:t>COOH</w:t>
            </w:r>
            <w:proofErr w:type="gramEnd"/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9474B8" w:rsidRPr="0045555E">
              <w:t xml:space="preserve"> vznikají oxidací sekundárních alkoholů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18155A" w:rsidRPr="0045555E">
              <w:t xml:space="preserve"> patří mezi silné kyseliny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Tzv. mastné</w:t>
            </w:r>
            <w:r w:rsidR="00316FDE" w:rsidRPr="0045555E">
              <w:t xml:space="preserve"> kyseliny</w:t>
            </w:r>
            <w:r w:rsidRPr="0045555E">
              <w:t xml:space="preserve"> mají dlouhý uhlovodíkový řetězec 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18155A" w:rsidRPr="0045555E">
              <w:t xml:space="preserve"> s hydroxidy poskytují estery 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redukcí poskytují aldehydy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patří mezi silné kyseliny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Kyselina trichloroctová je silnější než kyselina octová</w:t>
            </w:r>
            <w:r w:rsidR="0018155A" w:rsidRPr="0045555E">
              <w:t xml:space="preserve"> 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s </w:t>
            </w:r>
            <w:r w:rsidR="0045555E">
              <w:t>alkoholy</w:t>
            </w:r>
            <w:r w:rsidRPr="0045555E">
              <w:t xml:space="preserve"> poskytují estery (tzv. esterifikace)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Sytnost karboxylových kyselin je dána počtem karboxylových skupin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9474B8" w:rsidTr="009E2A53">
        <w:trPr>
          <w:trHeight w:val="454"/>
        </w:trPr>
        <w:tc>
          <w:tcPr>
            <w:tcW w:w="6510" w:type="dxa"/>
          </w:tcPr>
          <w:p w:rsidR="009474B8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Při dekarboxylaci kyselin dochází k odštěpení </w:t>
            </w:r>
            <w:r w:rsidR="00E10CE9" w:rsidRPr="0045555E">
              <w:t>oxidu uhelnatého</w:t>
            </w:r>
          </w:p>
        </w:tc>
        <w:tc>
          <w:tcPr>
            <w:tcW w:w="570" w:type="dxa"/>
          </w:tcPr>
          <w:p w:rsidR="009474B8" w:rsidRDefault="009474B8" w:rsidP="0018155A"/>
        </w:tc>
        <w:tc>
          <w:tcPr>
            <w:tcW w:w="570" w:type="dxa"/>
          </w:tcPr>
          <w:p w:rsidR="009474B8" w:rsidRDefault="009474B8" w:rsidP="0018155A"/>
        </w:tc>
      </w:tr>
      <w:tr w:rsidR="00E10CE9" w:rsidTr="00E10CE9">
        <w:trPr>
          <w:trHeight w:val="454"/>
        </w:trPr>
        <w:tc>
          <w:tcPr>
            <w:tcW w:w="6510" w:type="dxa"/>
          </w:tcPr>
          <w:p w:rsidR="00E10CE9" w:rsidRPr="0045555E" w:rsidRDefault="00111DC5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Kyselina </w:t>
            </w:r>
            <w:r w:rsidR="00701E08" w:rsidRPr="0045555E">
              <w:t>citronová má skupenství pevné</w:t>
            </w:r>
          </w:p>
        </w:tc>
        <w:tc>
          <w:tcPr>
            <w:tcW w:w="570" w:type="dxa"/>
          </w:tcPr>
          <w:p w:rsidR="00E10CE9" w:rsidRDefault="00E10CE9" w:rsidP="0053033B"/>
        </w:tc>
        <w:tc>
          <w:tcPr>
            <w:tcW w:w="570" w:type="dxa"/>
          </w:tcPr>
          <w:p w:rsidR="00E10CE9" w:rsidRDefault="00E10CE9" w:rsidP="0053033B"/>
        </w:tc>
      </w:tr>
      <w:tr w:rsidR="00E10CE9" w:rsidTr="00E10CE9">
        <w:trPr>
          <w:trHeight w:val="454"/>
        </w:trPr>
        <w:tc>
          <w:tcPr>
            <w:tcW w:w="6510" w:type="dxa"/>
          </w:tcPr>
          <w:p w:rsidR="00E10CE9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 xml:space="preserve">Karboxylová skupina </w:t>
            </w:r>
            <w:proofErr w:type="gramStart"/>
            <w:r>
              <w:t>má –I a –M efekt</w:t>
            </w:r>
            <w:proofErr w:type="gramEnd"/>
          </w:p>
        </w:tc>
        <w:tc>
          <w:tcPr>
            <w:tcW w:w="570" w:type="dxa"/>
          </w:tcPr>
          <w:p w:rsidR="00E10CE9" w:rsidRDefault="00E10CE9" w:rsidP="0053033B"/>
        </w:tc>
        <w:tc>
          <w:tcPr>
            <w:tcW w:w="570" w:type="dxa"/>
          </w:tcPr>
          <w:p w:rsidR="00E10CE9" w:rsidRDefault="00E10CE9" w:rsidP="0053033B"/>
        </w:tc>
      </w:tr>
      <w:tr w:rsidR="00701E08" w:rsidTr="00E10CE9">
        <w:trPr>
          <w:trHeight w:val="454"/>
        </w:trPr>
        <w:tc>
          <w:tcPr>
            <w:tcW w:w="6510" w:type="dxa"/>
          </w:tcPr>
          <w:p w:rsidR="00701E08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Karboxylová skupina patří mezi substituenty 1.</w:t>
            </w:r>
            <w:r w:rsidR="0027504E">
              <w:t xml:space="preserve"> </w:t>
            </w:r>
            <w:r>
              <w:t>třídy</w:t>
            </w:r>
          </w:p>
        </w:tc>
        <w:tc>
          <w:tcPr>
            <w:tcW w:w="570" w:type="dxa"/>
          </w:tcPr>
          <w:p w:rsidR="00701E08" w:rsidRDefault="00701E08" w:rsidP="0053033B"/>
        </w:tc>
        <w:tc>
          <w:tcPr>
            <w:tcW w:w="570" w:type="dxa"/>
          </w:tcPr>
          <w:p w:rsidR="00701E08" w:rsidRDefault="00701E08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Dehydratací karboxylové kyseliny vzniká ether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r>
              <w:t>Tetrahydridohlinitan</w:t>
            </w:r>
            <w:proofErr w:type="spellEnd"/>
            <w:r>
              <w:t xml:space="preserve"> lithný</w:t>
            </w:r>
            <w:r>
              <w:rPr>
                <w:vertAlign w:val="subscript"/>
              </w:rPr>
              <w:t xml:space="preserve"> </w:t>
            </w:r>
            <w:r>
              <w:t>redukuje kyseliny na alkoholy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Chloridy kyselin vznikají přímou chlorací chlorem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27504E">
        <w:trPr>
          <w:trHeight w:val="426"/>
        </w:trPr>
        <w:tc>
          <w:tcPr>
            <w:tcW w:w="6510" w:type="dxa"/>
          </w:tcPr>
          <w:p w:rsidR="0045555E" w:rsidRDefault="0027504E" w:rsidP="0027504E">
            <w:pPr>
              <w:pStyle w:val="Odstavecseseznamem"/>
              <w:numPr>
                <w:ilvl w:val="0"/>
                <w:numId w:val="2"/>
              </w:numPr>
            </w:pPr>
            <w:r>
              <w:t xml:space="preserve">Roztoky sodných solí </w:t>
            </w:r>
            <w:proofErr w:type="spellStart"/>
            <w:r>
              <w:t>karbox</w:t>
            </w:r>
            <w:proofErr w:type="spellEnd"/>
            <w:r>
              <w:t>. kyselin mají zásaditou reakci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</w:tbl>
    <w:p w:rsidR="00316FDE" w:rsidRDefault="00316FDE"/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4F74F7" w:rsidRDefault="004F74F7" w:rsidP="0027504E">
      <w:pPr>
        <w:pStyle w:val="Nadpis2"/>
        <w:rPr>
          <w:b/>
          <w:color w:val="2F5496" w:themeColor="accent5" w:themeShade="BF"/>
          <w:sz w:val="24"/>
          <w:szCs w:val="24"/>
        </w:rPr>
      </w:pPr>
    </w:p>
    <w:p w:rsidR="0027504E" w:rsidRDefault="004F74F7" w:rsidP="0027504E">
      <w:pPr>
        <w:pStyle w:val="Nadpis2"/>
        <w:rPr>
          <w:b/>
          <w:color w:val="FF0000"/>
        </w:rPr>
      </w:pPr>
      <w:bookmarkStart w:id="0" w:name="_GoBack"/>
      <w:bookmarkEnd w:id="0"/>
      <w:r w:rsidRPr="004F74F7">
        <w:rPr>
          <w:b/>
          <w:color w:val="2F5496" w:themeColor="accent5" w:themeShade="BF"/>
          <w:sz w:val="24"/>
          <w:szCs w:val="24"/>
        </w:rPr>
        <w:t>Kontrolní otázky</w:t>
      </w:r>
      <w:r>
        <w:rPr>
          <w:b/>
          <w:color w:val="2F5496" w:themeColor="accent5" w:themeShade="BF"/>
          <w:sz w:val="24"/>
          <w:szCs w:val="24"/>
        </w:rPr>
        <w:t xml:space="preserve"> </w:t>
      </w:r>
      <w:r>
        <w:rPr>
          <w:b/>
          <w:color w:val="2F5496" w:themeColor="accent5" w:themeShade="BF"/>
          <w:sz w:val="24"/>
          <w:szCs w:val="24"/>
        </w:rPr>
        <w:t>–</w:t>
      </w:r>
      <w:r w:rsidRPr="004F74F7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ř</w:t>
      </w:r>
      <w:r w:rsidR="0027504E" w:rsidRPr="0027504E">
        <w:rPr>
          <w:b/>
          <w:color w:val="FF0000"/>
        </w:rPr>
        <w:t>ešení</w:t>
      </w:r>
    </w:p>
    <w:p w:rsidR="004F74F7" w:rsidRPr="004F74F7" w:rsidRDefault="004F74F7" w:rsidP="004F74F7"/>
    <w:tbl>
      <w:tblPr>
        <w:tblStyle w:val="Mkatabulky"/>
        <w:tblW w:w="7650" w:type="dxa"/>
        <w:tblLayout w:type="fixed"/>
        <w:tblLook w:val="04A0" w:firstRow="1" w:lastRow="0" w:firstColumn="1" w:lastColumn="0" w:noHBand="0" w:noVBand="1"/>
      </w:tblPr>
      <w:tblGrid>
        <w:gridCol w:w="6510"/>
        <w:gridCol w:w="570"/>
        <w:gridCol w:w="570"/>
      </w:tblGrid>
      <w:tr w:rsidR="0027504E" w:rsidTr="0053033B">
        <w:trPr>
          <w:trHeight w:val="454"/>
        </w:trPr>
        <w:tc>
          <w:tcPr>
            <w:tcW w:w="6510" w:type="dxa"/>
            <w:shd w:val="clear" w:color="auto" w:fill="E7E6E6" w:themeFill="background2"/>
          </w:tcPr>
          <w:p w:rsidR="0027504E" w:rsidRDefault="0027504E" w:rsidP="0053033B">
            <w:r>
              <w:t xml:space="preserve">Vyznačte křížkem </w:t>
            </w:r>
            <w:r w:rsidRPr="00E10CE9">
              <w:rPr>
                <w:b/>
              </w:rPr>
              <w:t>správné</w:t>
            </w:r>
            <w:r>
              <w:t xml:space="preserve"> tvrzení</w:t>
            </w:r>
          </w:p>
          <w:p w:rsidR="0027504E" w:rsidRDefault="0027504E" w:rsidP="0053033B"/>
        </w:tc>
        <w:tc>
          <w:tcPr>
            <w:tcW w:w="570" w:type="dxa"/>
            <w:shd w:val="clear" w:color="auto" w:fill="E7E6E6" w:themeFill="background2"/>
          </w:tcPr>
          <w:p w:rsidR="0027504E" w:rsidRDefault="0027504E" w:rsidP="0053033B">
            <w:r>
              <w:t>ano</w:t>
            </w:r>
          </w:p>
        </w:tc>
        <w:tc>
          <w:tcPr>
            <w:tcW w:w="570" w:type="dxa"/>
            <w:shd w:val="clear" w:color="auto" w:fill="E7E6E6" w:themeFill="background2"/>
          </w:tcPr>
          <w:p w:rsidR="0027504E" w:rsidRDefault="0027504E" w:rsidP="0053033B">
            <w:r>
              <w:t>ne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přijímají H</w:t>
            </w:r>
            <w:r w:rsidRPr="0045555E">
              <w:rPr>
                <w:b/>
                <w:vertAlign w:val="superscript"/>
              </w:rPr>
              <w:t>+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reagují s alkoholy na mýdla a vodu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Karboxylové kyseliny </w:t>
            </w:r>
            <w:r>
              <w:t xml:space="preserve">obsahují jako </w:t>
            </w:r>
            <w:r w:rsidRPr="0045555E">
              <w:t xml:space="preserve">funkční </w:t>
            </w:r>
            <w:proofErr w:type="gramStart"/>
            <w:r w:rsidRPr="0045555E">
              <w:t>skupinu</w:t>
            </w:r>
            <w:proofErr w:type="gramEnd"/>
            <w:r w:rsidRPr="0045555E">
              <w:t xml:space="preserve">  –</w:t>
            </w:r>
            <w:proofErr w:type="gramStart"/>
            <w:r w:rsidRPr="0045555E">
              <w:t>COOH</w:t>
            </w:r>
            <w:proofErr w:type="gramEnd"/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vznikají oxidací sekundárních alkoholů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patří mezi silné kyseliny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Tzv. mastné kyseliny mají dlouhý uhlovodíkový řetězec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Karboxylové kyseliny s hydroxidy poskytují estery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redukcí poskytují aldehydy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patří mezi silné kyseliny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Kyselina trichloroctová je silnější než kyselina octová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s </w:t>
            </w:r>
            <w:r>
              <w:t>alkoholy</w:t>
            </w:r>
            <w:r w:rsidRPr="0045555E">
              <w:t xml:space="preserve"> poskytují estery (tzv. esterifikace)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Sytnost karboxylových kyselin je dána počtem karboxylových skupin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Při dekarboxylaci kyselin dochází k odštěpení oxidu uhelnatého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Kyselina citronová má skupenství pevné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 xml:space="preserve">Karboxylová skupina </w:t>
            </w:r>
            <w:proofErr w:type="gramStart"/>
            <w:r>
              <w:t>má –I a –M efekt</w:t>
            </w:r>
            <w:proofErr w:type="gramEnd"/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Karboxylová skupina patří mezi substituenty 1. třídy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Dehydratací karboxylové kyseliny vzniká ether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Tetrahydridohlinitan</w:t>
            </w:r>
            <w:proofErr w:type="spellEnd"/>
            <w:r>
              <w:t xml:space="preserve"> lithný</w:t>
            </w:r>
            <w:r>
              <w:rPr>
                <w:vertAlign w:val="subscript"/>
              </w:rPr>
              <w:t xml:space="preserve"> </w:t>
            </w:r>
            <w:r>
              <w:t>redukuje kyseliny na alkoholy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Chloridy kyselin vznikají přímou chlorací chlorem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26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 xml:space="preserve">Roztoky sodných solí </w:t>
            </w:r>
            <w:proofErr w:type="spellStart"/>
            <w:r>
              <w:t>karbox</w:t>
            </w:r>
            <w:proofErr w:type="spellEnd"/>
            <w:r>
              <w:t>. kyselin mají zásaditou reakci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</w:tbl>
    <w:p w:rsidR="0027504E" w:rsidRDefault="0027504E" w:rsidP="0027504E">
      <w:pPr>
        <w:rPr>
          <w:b/>
        </w:rPr>
      </w:pPr>
    </w:p>
    <w:p w:rsidR="0027504E" w:rsidRPr="0027504E" w:rsidRDefault="0027504E" w:rsidP="0027504E">
      <w:pPr>
        <w:rPr>
          <w:b/>
        </w:rPr>
      </w:pPr>
    </w:p>
    <w:sectPr w:rsidR="0027504E" w:rsidRPr="002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54F23"/>
    <w:multiLevelType w:val="hybridMultilevel"/>
    <w:tmpl w:val="F8E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2F98"/>
    <w:multiLevelType w:val="hybridMultilevel"/>
    <w:tmpl w:val="F8E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3F15"/>
    <w:multiLevelType w:val="hybridMultilevel"/>
    <w:tmpl w:val="89A86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DE"/>
    <w:rsid w:val="00111DC5"/>
    <w:rsid w:val="0018155A"/>
    <w:rsid w:val="001E6C0D"/>
    <w:rsid w:val="0027504E"/>
    <w:rsid w:val="002C52CE"/>
    <w:rsid w:val="00316FDE"/>
    <w:rsid w:val="0045555E"/>
    <w:rsid w:val="004F74F7"/>
    <w:rsid w:val="00701E08"/>
    <w:rsid w:val="007B0A43"/>
    <w:rsid w:val="009474B8"/>
    <w:rsid w:val="00E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911A-A22C-477E-A81B-0845A1D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5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0A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47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4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4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75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2014-04-01T17:31:00Z</dcterms:created>
  <dcterms:modified xsi:type="dcterms:W3CDTF">2014-10-29T16:34:00Z</dcterms:modified>
</cp:coreProperties>
</file>